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79" w:rsidRDefault="004C0279">
      <w:bookmarkStart w:id="0" w:name="_GoBack"/>
      <w:bookmarkEnd w:id="0"/>
      <w:r>
        <w:rPr>
          <w:noProof/>
        </w:rPr>
        <w:drawing>
          <wp:anchor distT="0" distB="0" distL="114300" distR="114300" simplePos="0" relativeHeight="251658240" behindDoc="1" locked="1" layoutInCell="1" allowOverlap="1">
            <wp:simplePos x="0" y="0"/>
            <wp:positionH relativeFrom="column">
              <wp:posOffset>-387985</wp:posOffset>
            </wp:positionH>
            <wp:positionV relativeFrom="paragraph">
              <wp:posOffset>-729615</wp:posOffset>
            </wp:positionV>
            <wp:extent cx="6867144" cy="1372031"/>
            <wp:effectExtent l="0" t="0" r="0" b="0"/>
            <wp:wrapTight wrapText="bothSides">
              <wp:wrapPolygon edited="0">
                <wp:start x="0" y="0"/>
                <wp:lineTo x="0" y="21300"/>
                <wp:lineTo x="21512" y="21300"/>
                <wp:lineTo x="21512" y="0"/>
                <wp:lineTo x="0" y="0"/>
              </wp:wrapPolygon>
            </wp:wrapTight>
            <wp:docPr id="1" name="Picture 1" descr="N:\Communications\LSTA\L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LSTA\LSTA 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7144" cy="1372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D90" w:rsidRPr="00CE3EF5" w:rsidRDefault="00C86D90" w:rsidP="00C86D90">
      <w:pPr>
        <w:rPr>
          <w:rFonts w:ascii="Times New Roman" w:hAnsi="Times New Roman" w:cs="Times New Roman"/>
          <w:b/>
          <w:sz w:val="48"/>
          <w:szCs w:val="48"/>
        </w:rPr>
      </w:pPr>
      <w:r w:rsidRPr="00CE3EF5">
        <w:rPr>
          <w:rFonts w:ascii="Times New Roman" w:hAnsi="Times New Roman" w:cs="Times New Roman"/>
          <w:b/>
          <w:sz w:val="48"/>
          <w:szCs w:val="48"/>
        </w:rPr>
        <w:t>Financial Literacy for All Ages</w:t>
      </w:r>
    </w:p>
    <w:p w:rsidR="00C86D90" w:rsidRDefault="00C86D90" w:rsidP="00C86D90">
      <w:pPr>
        <w:spacing w:after="120"/>
        <w:rPr>
          <w:rFonts w:ascii="Calibri" w:hAnsi="Calibri"/>
          <w:b/>
          <w:smallCaps/>
        </w:rPr>
      </w:pPr>
      <w:r>
        <w:rPr>
          <w:noProof/>
        </w:rPr>
        <mc:AlternateContent>
          <mc:Choice Requires="wps">
            <w:drawing>
              <wp:anchor distT="0" distB="0" distL="114300" distR="114300" simplePos="0" relativeHeight="251660288" behindDoc="0" locked="0" layoutInCell="1" allowOverlap="1" wp14:anchorId="13DF8C90" wp14:editId="022039D2">
                <wp:simplePos x="0" y="0"/>
                <wp:positionH relativeFrom="column">
                  <wp:posOffset>9525</wp:posOffset>
                </wp:positionH>
                <wp:positionV relativeFrom="paragraph">
                  <wp:posOffset>112395</wp:posOffset>
                </wp:positionV>
                <wp:extent cx="63341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flipV="1">
                          <a:off x="0" y="0"/>
                          <a:ext cx="63341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8.85pt" to="49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" strokecolor="#4f81bd [3204]" strokeweight="2pt">
                <v:shadow on="t" color="black" opacity="24903f" origin=",.5" offset="0,.55556mm"/>
              </v:line>
            </w:pict>
          </mc:Fallback>
        </mc:AlternateContent>
      </w:r>
    </w:p>
    <w:p w:rsidR="00C86D90" w:rsidRPr="00CE3EF5" w:rsidRDefault="00C86D90" w:rsidP="00C86D90">
      <w:pPr>
        <w:spacing w:after="120"/>
        <w:rPr>
          <w:rFonts w:ascii="Times New Roman" w:hAnsi="Times New Roman" w:cs="Times New Roman"/>
          <w:bCs/>
          <w:sz w:val="24"/>
          <w:szCs w:val="24"/>
        </w:rPr>
      </w:pPr>
      <w:r w:rsidRPr="00CE3EF5">
        <w:rPr>
          <w:rFonts w:ascii="Times New Roman" w:hAnsi="Times New Roman" w:cs="Times New Roman"/>
          <w:b/>
          <w:caps/>
          <w:sz w:val="24"/>
          <w:szCs w:val="24"/>
        </w:rPr>
        <w:t xml:space="preserve">Program Description </w:t>
      </w:r>
      <w:r w:rsidRPr="00CE3EF5">
        <w:rPr>
          <w:rFonts w:ascii="Times New Roman" w:hAnsi="Times New Roman" w:cs="Times New Roman"/>
          <w:b/>
          <w:caps/>
          <w:sz w:val="24"/>
          <w:szCs w:val="24"/>
        </w:rPr>
        <w:br/>
      </w:r>
      <w:r w:rsidRPr="00CE3EF5">
        <w:rPr>
          <w:rFonts w:ascii="Times New Roman" w:hAnsi="Times New Roman" w:cs="Times New Roman"/>
          <w:sz w:val="24"/>
          <w:szCs w:val="24"/>
        </w:rPr>
        <w:t xml:space="preserve">Grants of up to $7,500 will be awarded to libraries to strengthen their role as a resource for improving financial literacy in their community or organization.  Libraries will design and implement a one-year grant project guided by </w:t>
      </w:r>
      <w:r w:rsidRPr="00CE3EF5">
        <w:rPr>
          <w:rFonts w:ascii="Times New Roman" w:hAnsi="Times New Roman" w:cs="Times New Roman"/>
          <w:bCs/>
          <w:sz w:val="24"/>
          <w:szCs w:val="24"/>
          <w:u w:val="single"/>
        </w:rPr>
        <w:t>Financial Literacy Education for Libraries: Guidelines and Best Practices for Service</w:t>
      </w:r>
      <w:r w:rsidR="00CE3EF5">
        <w:rPr>
          <w:rFonts w:ascii="Times New Roman" w:hAnsi="Times New Roman" w:cs="Times New Roman"/>
          <w:bCs/>
          <w:sz w:val="24"/>
          <w:szCs w:val="24"/>
        </w:rPr>
        <w:t xml:space="preserve"> </w:t>
      </w:r>
      <w:r w:rsidRPr="00CE3EF5">
        <w:rPr>
          <w:rFonts w:ascii="Times New Roman" w:hAnsi="Times New Roman" w:cs="Times New Roman"/>
          <w:bCs/>
          <w:sz w:val="24"/>
          <w:szCs w:val="24"/>
        </w:rPr>
        <w:t xml:space="preserve">(ALA’s Business and Reference Services Section of the Reference and User Services Association, </w:t>
      </w:r>
      <w:hyperlink r:id="rId7" w:history="1">
        <w:r w:rsidRPr="00CE3EF5">
          <w:rPr>
            <w:rStyle w:val="Hyperlink"/>
            <w:rFonts w:ascii="Times New Roman" w:hAnsi="Times New Roman" w:cs="Times New Roman"/>
            <w:bCs/>
            <w:sz w:val="24"/>
            <w:szCs w:val="24"/>
          </w:rPr>
          <w:t>http://www.ala.org/rusa/sites/ala.org.rusa/files/content/FLEGuidelines_Final_September_2014.pdf</w:t>
        </w:r>
      </w:hyperlink>
      <w:r w:rsidRPr="00CE3EF5">
        <w:rPr>
          <w:rFonts w:ascii="Times New Roman" w:hAnsi="Times New Roman" w:cs="Times New Roman"/>
          <w:bCs/>
          <w:sz w:val="24"/>
          <w:szCs w:val="24"/>
        </w:rPr>
        <w:t>).</w:t>
      </w:r>
      <w:r w:rsidRPr="00CE3EF5">
        <w:rPr>
          <w:rFonts w:ascii="Times New Roman" w:hAnsi="Times New Roman" w:cs="Times New Roman"/>
          <w:b/>
          <w:caps/>
          <w:sz w:val="24"/>
          <w:szCs w:val="24"/>
        </w:rPr>
        <w:br/>
      </w:r>
    </w:p>
    <w:p w:rsidR="00C86D90" w:rsidRPr="00CE3EF5" w:rsidRDefault="00C86D90" w:rsidP="00CE3EF5">
      <w:pPr>
        <w:spacing w:after="120"/>
        <w:rPr>
          <w:rFonts w:ascii="Times New Roman" w:hAnsi="Times New Roman" w:cs="Times New Roman"/>
          <w:sz w:val="24"/>
          <w:szCs w:val="24"/>
        </w:rPr>
      </w:pPr>
      <w:r w:rsidRPr="00CE3EF5">
        <w:rPr>
          <w:rFonts w:ascii="Times New Roman" w:hAnsi="Times New Roman" w:cs="Times New Roman"/>
          <w:sz w:val="24"/>
          <w:szCs w:val="24"/>
        </w:rPr>
        <w:t>As part of the grant, libraries will be expected to:</w:t>
      </w:r>
    </w:p>
    <w:p w:rsidR="00C86D90" w:rsidRPr="00CE3EF5" w:rsidRDefault="00C86D90" w:rsidP="00C86D90">
      <w:pPr>
        <w:pStyle w:val="ListParagraph"/>
        <w:numPr>
          <w:ilvl w:val="0"/>
          <w:numId w:val="1"/>
        </w:numPr>
        <w:rPr>
          <w:szCs w:val="24"/>
        </w:rPr>
      </w:pPr>
      <w:r w:rsidRPr="00CE3EF5">
        <w:rPr>
          <w:szCs w:val="24"/>
        </w:rPr>
        <w:t xml:space="preserve">Enhance or develop current multimedia consumer financial literacy collection </w:t>
      </w:r>
    </w:p>
    <w:p w:rsidR="00C86D90" w:rsidRPr="00CE3EF5" w:rsidRDefault="00C86D90" w:rsidP="00C86D90">
      <w:pPr>
        <w:pStyle w:val="ListParagraph"/>
        <w:numPr>
          <w:ilvl w:val="0"/>
          <w:numId w:val="1"/>
        </w:numPr>
        <w:rPr>
          <w:szCs w:val="24"/>
        </w:rPr>
      </w:pPr>
      <w:r w:rsidRPr="00CE3EF5">
        <w:rPr>
          <w:szCs w:val="24"/>
        </w:rPr>
        <w:t>Provide staff training on financial information resources</w:t>
      </w:r>
    </w:p>
    <w:p w:rsidR="00C86D90" w:rsidRPr="00CE3EF5" w:rsidRDefault="00C86D90" w:rsidP="00C86D90">
      <w:pPr>
        <w:pStyle w:val="ListParagraph"/>
        <w:numPr>
          <w:ilvl w:val="0"/>
          <w:numId w:val="1"/>
        </w:numPr>
        <w:rPr>
          <w:szCs w:val="24"/>
        </w:rPr>
      </w:pPr>
      <w:r w:rsidRPr="00CE3EF5">
        <w:rPr>
          <w:szCs w:val="24"/>
        </w:rPr>
        <w:t>Plan and hold workshops and programming to meet the needs of the project audience</w:t>
      </w:r>
    </w:p>
    <w:p w:rsidR="00C86D90" w:rsidRPr="00CE3EF5" w:rsidRDefault="00C86D90" w:rsidP="00C86D90">
      <w:pPr>
        <w:pStyle w:val="ListParagraph"/>
        <w:numPr>
          <w:ilvl w:val="0"/>
          <w:numId w:val="1"/>
        </w:numPr>
        <w:rPr>
          <w:szCs w:val="24"/>
        </w:rPr>
      </w:pPr>
      <w:r w:rsidRPr="00CE3EF5">
        <w:rPr>
          <w:szCs w:val="24"/>
        </w:rPr>
        <w:t>Create or update library web pages relevant to the grant theme that highlight financial education resources and programming</w:t>
      </w:r>
    </w:p>
    <w:p w:rsidR="00C86D90" w:rsidRPr="00CE3EF5" w:rsidRDefault="00C86D90" w:rsidP="00C86D90">
      <w:pPr>
        <w:pStyle w:val="ListParagraph"/>
        <w:numPr>
          <w:ilvl w:val="0"/>
          <w:numId w:val="1"/>
        </w:numPr>
        <w:rPr>
          <w:szCs w:val="24"/>
        </w:rPr>
      </w:pPr>
      <w:r w:rsidRPr="00CE3EF5">
        <w:rPr>
          <w:szCs w:val="24"/>
        </w:rPr>
        <w:t>Provide opportunities for the project audience to learn skills that enable them to make informed choices regarding their financial planning and needs</w:t>
      </w:r>
    </w:p>
    <w:p w:rsidR="00C86D90" w:rsidRPr="00CE3EF5" w:rsidRDefault="00C86D90" w:rsidP="00C86D90">
      <w:pPr>
        <w:pStyle w:val="ListParagraph"/>
        <w:numPr>
          <w:ilvl w:val="0"/>
          <w:numId w:val="1"/>
        </w:numPr>
        <w:rPr>
          <w:szCs w:val="24"/>
        </w:rPr>
      </w:pPr>
      <w:r w:rsidRPr="00CE3EF5">
        <w:rPr>
          <w:szCs w:val="24"/>
        </w:rPr>
        <w:t>Collaborate with appropriate municipal government departments, local community organizations, educational institutions, and businesses. Libraries are also encouraged to form an advisory group with these organizations as well as a member of the project audience as appropriate to help the library carry out the grant</w:t>
      </w:r>
    </w:p>
    <w:p w:rsidR="00C86D90" w:rsidRPr="00CE3EF5" w:rsidRDefault="00CE3EF5" w:rsidP="00C86D90">
      <w:pPr>
        <w:pStyle w:val="ListParagraph"/>
        <w:numPr>
          <w:ilvl w:val="0"/>
          <w:numId w:val="1"/>
        </w:numPr>
        <w:rPr>
          <w:szCs w:val="24"/>
        </w:rPr>
      </w:pPr>
      <w:r>
        <w:rPr>
          <w:szCs w:val="24"/>
        </w:rPr>
        <w:t>School</w:t>
      </w:r>
      <w:r w:rsidR="00C86D90" w:rsidRPr="00CE3EF5">
        <w:rPr>
          <w:szCs w:val="24"/>
        </w:rPr>
        <w:t xml:space="preserve"> and academic libraries must coordinate with faculty and staff to embed literacy skills into the school</w:t>
      </w:r>
      <w:r>
        <w:rPr>
          <w:szCs w:val="24"/>
        </w:rPr>
        <w:t>’s curriculum and services. School</w:t>
      </w:r>
      <w:r w:rsidR="00C86D90" w:rsidRPr="00CE3EF5">
        <w:rPr>
          <w:szCs w:val="24"/>
        </w:rPr>
        <w:t xml:space="preserve"> libraries are required to collaborate with the public library </w:t>
      </w:r>
    </w:p>
    <w:p w:rsidR="00C86D90" w:rsidRPr="00CE3EF5" w:rsidRDefault="00C86D90" w:rsidP="00C86D90">
      <w:pPr>
        <w:rPr>
          <w:rFonts w:ascii="Times New Roman" w:eastAsia="Times New Roman" w:hAnsi="Times New Roman" w:cs="Times New Roman"/>
          <w:sz w:val="24"/>
          <w:szCs w:val="24"/>
        </w:rPr>
      </w:pPr>
      <w:r w:rsidRPr="00CE3EF5">
        <w:rPr>
          <w:rFonts w:ascii="Times New Roman" w:eastAsia="Times New Roman" w:hAnsi="Times New Roman" w:cs="Times New Roman"/>
          <w:b/>
          <w:caps/>
          <w:sz w:val="24"/>
          <w:szCs w:val="24"/>
        </w:rPr>
        <w:t>Eligibility</w:t>
      </w:r>
      <w:r w:rsidRPr="00CE3EF5">
        <w:rPr>
          <w:rFonts w:ascii="Times New Roman" w:eastAsia="Times New Roman" w:hAnsi="Times New Roman" w:cs="Times New Roman"/>
          <w:b/>
          <w:caps/>
          <w:sz w:val="24"/>
          <w:szCs w:val="24"/>
        </w:rPr>
        <w:br/>
      </w:r>
      <w:r w:rsidR="00CE3EF5">
        <w:rPr>
          <w:rFonts w:ascii="Times New Roman" w:eastAsia="Times New Roman" w:hAnsi="Times New Roman" w:cs="Times New Roman"/>
          <w:sz w:val="24"/>
          <w:szCs w:val="24"/>
        </w:rPr>
        <w:t>Open to all public, school</w:t>
      </w:r>
      <w:r w:rsidRPr="00CE3EF5">
        <w:rPr>
          <w:rFonts w:ascii="Times New Roman" w:eastAsia="Times New Roman" w:hAnsi="Times New Roman" w:cs="Times New Roman"/>
          <w:sz w:val="24"/>
          <w:szCs w:val="24"/>
        </w:rPr>
        <w:t xml:space="preserve">, and academic libraries that meet standard eligibility requirements for Direct Grant Programs. </w:t>
      </w:r>
    </w:p>
    <w:p w:rsidR="00CE3EF5" w:rsidRDefault="00CE3EF5" w:rsidP="00C86D90">
      <w:pPr>
        <w:tabs>
          <w:tab w:val="left" w:pos="2395"/>
        </w:tabs>
        <w:rPr>
          <w:rFonts w:ascii="Times New Roman" w:hAnsi="Times New Roman" w:cs="Times New Roman"/>
          <w:b/>
          <w:sz w:val="24"/>
          <w:szCs w:val="24"/>
        </w:rPr>
      </w:pPr>
    </w:p>
    <w:p w:rsidR="00C86D90" w:rsidRPr="00CE3EF5" w:rsidRDefault="00C86D90" w:rsidP="00C86D90">
      <w:pPr>
        <w:tabs>
          <w:tab w:val="left" w:pos="2395"/>
        </w:tabs>
        <w:rPr>
          <w:rFonts w:ascii="Times New Roman" w:hAnsi="Times New Roman" w:cs="Times New Roman"/>
          <w:b/>
          <w:sz w:val="24"/>
          <w:szCs w:val="24"/>
        </w:rPr>
      </w:pPr>
      <w:r w:rsidRPr="00CE3EF5">
        <w:rPr>
          <w:rFonts w:ascii="Times New Roman" w:hAnsi="Times New Roman" w:cs="Times New Roman"/>
          <w:b/>
          <w:sz w:val="24"/>
          <w:szCs w:val="24"/>
        </w:rPr>
        <w:lastRenderedPageBreak/>
        <w:t>INTERESTED?</w:t>
      </w:r>
    </w:p>
    <w:p w:rsidR="00C86D90" w:rsidRPr="00CE3EF5" w:rsidRDefault="00C86D90" w:rsidP="00C86D90">
      <w:pPr>
        <w:tabs>
          <w:tab w:val="left" w:pos="2395"/>
        </w:tabs>
        <w:rPr>
          <w:rFonts w:ascii="Times New Roman" w:hAnsi="Times New Roman" w:cs="Times New Roman"/>
          <w:sz w:val="24"/>
          <w:szCs w:val="24"/>
        </w:rPr>
      </w:pPr>
      <w:r w:rsidRPr="00CE3EF5">
        <w:rPr>
          <w:rFonts w:ascii="Times New Roman" w:hAnsi="Times New Roman" w:cs="Times New Roman"/>
          <w:sz w:val="24"/>
          <w:szCs w:val="24"/>
        </w:rPr>
        <w:t xml:space="preserve">Applicants must submit a Letter of Intent form with the “Financial Literacy for All Ages” option checked off. For additional information about this program, please contact </w:t>
      </w:r>
      <w:r w:rsidR="00CE3EF5">
        <w:rPr>
          <w:rFonts w:ascii="Times New Roman" w:hAnsi="Times New Roman" w:cs="Times New Roman"/>
          <w:sz w:val="24"/>
          <w:szCs w:val="24"/>
        </w:rPr>
        <w:t>Lyndsay Forbes</w:t>
      </w:r>
      <w:r w:rsidRPr="00CE3EF5">
        <w:rPr>
          <w:rFonts w:ascii="Times New Roman" w:hAnsi="Times New Roman" w:cs="Times New Roman"/>
          <w:sz w:val="24"/>
          <w:szCs w:val="24"/>
        </w:rPr>
        <w:t xml:space="preserve"> at the</w:t>
      </w:r>
      <w:r w:rsidR="00CE3EF5">
        <w:rPr>
          <w:rFonts w:ascii="Times New Roman" w:hAnsi="Times New Roman" w:cs="Times New Roman"/>
          <w:sz w:val="24"/>
          <w:szCs w:val="24"/>
        </w:rPr>
        <w:t xml:space="preserve"> MBLC at 1-800-952-7403 ext. 252</w:t>
      </w:r>
      <w:r w:rsidRPr="00CE3EF5">
        <w:rPr>
          <w:rFonts w:ascii="Times New Roman" w:hAnsi="Times New Roman" w:cs="Times New Roman"/>
          <w:sz w:val="24"/>
          <w:szCs w:val="24"/>
        </w:rPr>
        <w:t xml:space="preserve"> or email </w:t>
      </w:r>
      <w:hyperlink r:id="rId8" w:history="1">
        <w:r w:rsidR="005E7B97" w:rsidRPr="00DD1DAB">
          <w:rPr>
            <w:rStyle w:val="Hyperlink"/>
            <w:rFonts w:ascii="Times New Roman" w:hAnsi="Times New Roman" w:cs="Times New Roman"/>
            <w:sz w:val="24"/>
            <w:szCs w:val="24"/>
          </w:rPr>
          <w:t>lyndsay.forbes@state.ma.us</w:t>
        </w:r>
      </w:hyperlink>
      <w:r w:rsidRPr="00CE3EF5">
        <w:rPr>
          <w:rFonts w:ascii="Times New Roman" w:hAnsi="Times New Roman" w:cs="Times New Roman"/>
          <w:sz w:val="24"/>
          <w:szCs w:val="24"/>
        </w:rPr>
        <w:t>.</w:t>
      </w:r>
    </w:p>
    <w:p w:rsidR="00CE3EF5" w:rsidRDefault="00CE3EF5" w:rsidP="00C86D90">
      <w:pPr>
        <w:rPr>
          <w:rFonts w:ascii="Times New Roman" w:eastAsia="Times New Roman" w:hAnsi="Times New Roman" w:cs="Times New Roman"/>
          <w:b/>
          <w:caps/>
          <w:sz w:val="24"/>
          <w:szCs w:val="24"/>
        </w:rPr>
      </w:pPr>
    </w:p>
    <w:p w:rsidR="00C86D90" w:rsidRPr="00CE3EF5" w:rsidRDefault="00C86D90" w:rsidP="00C86D90">
      <w:pPr>
        <w:rPr>
          <w:rFonts w:ascii="Times New Roman" w:eastAsia="Times New Roman" w:hAnsi="Times New Roman" w:cs="Times New Roman"/>
          <w:b/>
          <w:caps/>
          <w:sz w:val="24"/>
          <w:szCs w:val="24"/>
        </w:rPr>
      </w:pPr>
      <w:r w:rsidRPr="00CE3EF5">
        <w:rPr>
          <w:rFonts w:ascii="Times New Roman" w:eastAsia="Times New Roman" w:hAnsi="Times New Roman" w:cs="Times New Roman"/>
          <w:b/>
          <w:caps/>
          <w:sz w:val="24"/>
          <w:szCs w:val="24"/>
        </w:rPr>
        <w:t>BACKGRound</w:t>
      </w:r>
      <w:r w:rsidRPr="00CE3EF5">
        <w:rPr>
          <w:rFonts w:ascii="Times New Roman" w:eastAsia="Times New Roman" w:hAnsi="Times New Roman" w:cs="Times New Roman"/>
          <w:b/>
          <w:caps/>
          <w:sz w:val="24"/>
          <w:szCs w:val="24"/>
        </w:rPr>
        <w:br/>
      </w:r>
      <w:r w:rsidRPr="00CE3EF5">
        <w:rPr>
          <w:rFonts w:ascii="Times New Roman" w:hAnsi="Times New Roman" w:cs="Times New Roman"/>
          <w:sz w:val="24"/>
          <w:szCs w:val="24"/>
        </w:rPr>
        <w:t>According to the President’s Advisory Council on Financial Capability, the financial crisis of 2008 demonstrated a widespread and costly lack of understanding of basic financial management information and skills in the United States. They pointed to the need for financial literacy education to begin as early as high school, and to be the responsibility of families, schools, and the local community. Libraries can play a key role in providing programs and resources that help people improve their understanding of financial matters and help parents and teachers model and teach good personal finances.</w:t>
      </w:r>
    </w:p>
    <w:p w:rsidR="00C86D90" w:rsidRPr="00CE3EF5" w:rsidRDefault="00C86D90" w:rsidP="00C86D90">
      <w:pPr>
        <w:pStyle w:val="Heading2"/>
        <w:spacing w:before="0" w:beforeAutospacing="0" w:after="0" w:afterAutospacing="0"/>
        <w:rPr>
          <w:b w:val="0"/>
          <w:sz w:val="24"/>
          <w:szCs w:val="24"/>
        </w:rPr>
      </w:pPr>
    </w:p>
    <w:p w:rsidR="00C86D90" w:rsidRPr="00CE3EF5" w:rsidRDefault="00C86D90" w:rsidP="00C86D90">
      <w:pPr>
        <w:pStyle w:val="NormalWeb"/>
        <w:spacing w:before="0" w:beforeAutospacing="0" w:after="0" w:afterAutospacing="0"/>
      </w:pPr>
    </w:p>
    <w:p w:rsidR="00C86D90" w:rsidRPr="00CE3EF5" w:rsidRDefault="00C86D90" w:rsidP="00C86D90">
      <w:pPr>
        <w:spacing w:after="120"/>
        <w:rPr>
          <w:rFonts w:ascii="Times New Roman" w:eastAsia="Times New Roman" w:hAnsi="Times New Roman" w:cs="Times New Roman"/>
          <w:b/>
          <w:smallCaps/>
          <w:sz w:val="24"/>
          <w:szCs w:val="24"/>
        </w:rPr>
      </w:pPr>
      <w:r w:rsidRPr="00CE3EF5">
        <w:rPr>
          <w:rFonts w:ascii="Times New Roman" w:eastAsia="Times New Roman" w:hAnsi="Times New Roman" w:cs="Times New Roman"/>
          <w:b/>
          <w:smallCaps/>
          <w:sz w:val="24"/>
          <w:szCs w:val="24"/>
        </w:rPr>
        <w:t xml:space="preserve">2018 -2022 MASSACHUSETTS LONG RANGE PLAN GOAL &amp; OBJECTIVE </w:t>
      </w:r>
      <w:r w:rsidRPr="00CE3EF5">
        <w:rPr>
          <w:rFonts w:ascii="Times New Roman" w:eastAsia="Times New Roman" w:hAnsi="Times New Roman" w:cs="Times New Roman"/>
          <w:b/>
          <w:smallCaps/>
          <w:sz w:val="24"/>
          <w:szCs w:val="24"/>
        </w:rPr>
        <w:br/>
      </w:r>
      <w:r w:rsidRPr="00CE3EF5">
        <w:rPr>
          <w:rFonts w:ascii="Times New Roman" w:eastAsia="Times New Roman" w:hAnsi="Times New Roman" w:cs="Times New Roman"/>
          <w:b/>
          <w:sz w:val="24"/>
          <w:szCs w:val="24"/>
        </w:rPr>
        <w:t>Goal 5:</w:t>
      </w:r>
      <w:r w:rsidRPr="00CE3EF5">
        <w:rPr>
          <w:rFonts w:ascii="Times New Roman" w:eastAsia="Times New Roman" w:hAnsi="Times New Roman" w:cs="Times New Roman"/>
          <w:sz w:val="24"/>
          <w:szCs w:val="24"/>
        </w:rPr>
        <w:t xml:space="preserve"> Developing Skills</w:t>
      </w:r>
    </w:p>
    <w:p w:rsidR="00C86D90" w:rsidRPr="00CE3EF5" w:rsidRDefault="00C86D90" w:rsidP="00C86D90">
      <w:pPr>
        <w:rPr>
          <w:rFonts w:ascii="Times New Roman" w:hAnsi="Times New Roman" w:cs="Times New Roman"/>
          <w:sz w:val="24"/>
          <w:szCs w:val="24"/>
        </w:rPr>
      </w:pPr>
      <w:r w:rsidRPr="00CE3EF5">
        <w:rPr>
          <w:rFonts w:ascii="Times New Roman" w:eastAsia="Times New Roman" w:hAnsi="Times New Roman" w:cs="Times New Roman"/>
          <w:b/>
          <w:sz w:val="24"/>
          <w:szCs w:val="24"/>
        </w:rPr>
        <w:t>Objective 1:</w:t>
      </w:r>
      <w:r w:rsidRPr="00CE3EF5">
        <w:rPr>
          <w:rFonts w:ascii="Times New Roman" w:eastAsia="Times New Roman" w:hAnsi="Times New Roman" w:cs="Times New Roman"/>
          <w:sz w:val="24"/>
          <w:szCs w:val="24"/>
        </w:rPr>
        <w:t xml:space="preserve">  Improve users’ ability to understand and apply information that furthers personal and family competencies in universal areas such as health, finances, and other life skills</w:t>
      </w:r>
    </w:p>
    <w:p w:rsidR="00C86D90" w:rsidRPr="00CE3EF5" w:rsidRDefault="00C86D90" w:rsidP="00C86D90">
      <w:pPr>
        <w:tabs>
          <w:tab w:val="left" w:pos="2395"/>
        </w:tabs>
        <w:rPr>
          <w:rFonts w:ascii="Times New Roman" w:hAnsi="Times New Roman" w:cs="Times New Roman"/>
          <w:sz w:val="24"/>
          <w:szCs w:val="24"/>
        </w:rPr>
      </w:pPr>
    </w:p>
    <w:p w:rsidR="005D3DCB" w:rsidRPr="00CE3EF5" w:rsidRDefault="00BE3D3D" w:rsidP="004C0279">
      <w:pPr>
        <w:rPr>
          <w:rFonts w:ascii="Times New Roman" w:hAnsi="Times New Roman" w:cs="Times New Roman"/>
          <w:sz w:val="24"/>
          <w:szCs w:val="24"/>
        </w:rPr>
      </w:pPr>
    </w:p>
    <w:sectPr w:rsidR="005D3DCB" w:rsidRPr="00CE3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5472A"/>
    <w:multiLevelType w:val="hybridMultilevel"/>
    <w:tmpl w:val="1AD83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9"/>
    <w:rsid w:val="00216DCD"/>
    <w:rsid w:val="003933CC"/>
    <w:rsid w:val="004C0279"/>
    <w:rsid w:val="005E7B97"/>
    <w:rsid w:val="00707DC2"/>
    <w:rsid w:val="00BC01F6"/>
    <w:rsid w:val="00BE3D3D"/>
    <w:rsid w:val="00C86D90"/>
    <w:rsid w:val="00CE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6D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customStyle="1" w:styleId="Heading2Char">
    <w:name w:val="Heading 2 Char"/>
    <w:basedOn w:val="DefaultParagraphFont"/>
    <w:link w:val="Heading2"/>
    <w:uiPriority w:val="9"/>
    <w:rsid w:val="00C86D90"/>
    <w:rPr>
      <w:rFonts w:ascii="Times New Roman" w:eastAsia="Times New Roman" w:hAnsi="Times New Roman" w:cs="Times New Roman"/>
      <w:b/>
      <w:bCs/>
      <w:sz w:val="36"/>
      <w:szCs w:val="36"/>
    </w:rPr>
  </w:style>
  <w:style w:type="character" w:styleId="Hyperlink">
    <w:name w:val="Hyperlink"/>
    <w:rsid w:val="00C86D90"/>
    <w:rPr>
      <w:color w:val="0000FF"/>
      <w:u w:val="single"/>
    </w:rPr>
  </w:style>
  <w:style w:type="paragraph" w:styleId="ListParagraph">
    <w:name w:val="List Paragraph"/>
    <w:basedOn w:val="Normal"/>
    <w:uiPriority w:val="34"/>
    <w:qFormat/>
    <w:rsid w:val="00C86D90"/>
    <w:pPr>
      <w:ind w:left="720"/>
      <w:contextualSpacing/>
    </w:pPr>
    <w:rPr>
      <w:rFonts w:ascii="Times New Roman" w:hAnsi="Times New Roman" w:cs="Times New Roman"/>
      <w:sz w:val="24"/>
      <w:szCs w:val="20"/>
    </w:rPr>
  </w:style>
  <w:style w:type="paragraph" w:styleId="NormalWeb">
    <w:name w:val="Normal (Web)"/>
    <w:basedOn w:val="Normal"/>
    <w:uiPriority w:val="99"/>
    <w:unhideWhenUsed/>
    <w:rsid w:val="00C86D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6D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customStyle="1" w:styleId="Heading2Char">
    <w:name w:val="Heading 2 Char"/>
    <w:basedOn w:val="DefaultParagraphFont"/>
    <w:link w:val="Heading2"/>
    <w:uiPriority w:val="9"/>
    <w:rsid w:val="00C86D90"/>
    <w:rPr>
      <w:rFonts w:ascii="Times New Roman" w:eastAsia="Times New Roman" w:hAnsi="Times New Roman" w:cs="Times New Roman"/>
      <w:b/>
      <w:bCs/>
      <w:sz w:val="36"/>
      <w:szCs w:val="36"/>
    </w:rPr>
  </w:style>
  <w:style w:type="character" w:styleId="Hyperlink">
    <w:name w:val="Hyperlink"/>
    <w:rsid w:val="00C86D90"/>
    <w:rPr>
      <w:color w:val="0000FF"/>
      <w:u w:val="single"/>
    </w:rPr>
  </w:style>
  <w:style w:type="paragraph" w:styleId="ListParagraph">
    <w:name w:val="List Paragraph"/>
    <w:basedOn w:val="Normal"/>
    <w:uiPriority w:val="34"/>
    <w:qFormat/>
    <w:rsid w:val="00C86D90"/>
    <w:pPr>
      <w:ind w:left="720"/>
      <w:contextualSpacing/>
    </w:pPr>
    <w:rPr>
      <w:rFonts w:ascii="Times New Roman" w:hAnsi="Times New Roman" w:cs="Times New Roman"/>
      <w:sz w:val="24"/>
      <w:szCs w:val="20"/>
    </w:rPr>
  </w:style>
  <w:style w:type="paragraph" w:styleId="NormalWeb">
    <w:name w:val="Normal (Web)"/>
    <w:basedOn w:val="Normal"/>
    <w:uiPriority w:val="99"/>
    <w:unhideWhenUsed/>
    <w:rsid w:val="00C86D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say.forbes@state.ma.us" TargetMode="External"/><Relationship Id="rId3" Type="http://schemas.microsoft.com/office/2007/relationships/stylesWithEffects" Target="stylesWithEffects.xml"/><Relationship Id="rId7" Type="http://schemas.openxmlformats.org/officeDocument/2006/relationships/hyperlink" Target="http://www.ala.org/rusa/sites/ala.org.rusa/files/content/FLEGuidelines_Final_September_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Financial Literacy for All Ages - FY18 LSTA Grant Round Fact Sheet</vt:lpstr>
    </vt:vector>
  </TitlesOfParts>
  <Company>Microsoft</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Literacy for All Ages - FY19 LSTA Grant Round Fact Sheet</dc:title>
  <dc:creator>LForbes@MassMail.State.MA.US</dc:creator>
  <cp:lastModifiedBy>Kissman, Paul (BLC)</cp:lastModifiedBy>
  <cp:revision>8</cp:revision>
  <dcterms:created xsi:type="dcterms:W3CDTF">2017-10-12T19:12:00Z</dcterms:created>
  <dcterms:modified xsi:type="dcterms:W3CDTF">2017-11-08T19:19:00Z</dcterms:modified>
</cp:coreProperties>
</file>